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jc w:val="center"/>
        <w:rPr>
          <w:rFonts w:hint="eastAsia" w:ascii="Times New Roman" w:hAnsi="Times New Roman" w:eastAsia="方正小标宋简体" w:cs="方正小标宋_GBK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_GBK"/>
          <w:b/>
          <w:bCs/>
          <w:color w:val="000000"/>
          <w:kern w:val="2"/>
          <w:sz w:val="44"/>
          <w:szCs w:val="44"/>
          <w:lang w:val="en-US" w:eastAsia="zh-CN" w:bidi="ar-SA"/>
        </w:rPr>
        <w:t>2022年度苏州工业园区项目制培训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jc w:val="center"/>
        <w:rPr>
          <w:rFonts w:hint="eastAsia" w:ascii="Times New Roman" w:hAnsi="Times New Roman" w:eastAsia="方正小标宋简体" w:cs="方正小标宋_GBK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_GBK"/>
          <w:b/>
          <w:bCs/>
          <w:color w:val="000000"/>
          <w:kern w:val="2"/>
          <w:sz w:val="44"/>
          <w:szCs w:val="44"/>
          <w:lang w:val="en-US" w:eastAsia="zh-CN" w:bidi="ar-SA"/>
        </w:rPr>
        <w:t>第二批参考目录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jc w:val="center"/>
        <w:rPr>
          <w:rFonts w:hint="eastAsia" w:ascii="Times New Roman" w:hAnsi="Times New Roman" w:eastAsia="微软雅黑" w:cs="微软雅黑"/>
          <w:sz w:val="18"/>
          <w:szCs w:val="18"/>
        </w:rPr>
      </w:pP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《关于做好职业技能提升行动专账资金使用管理工作的通知》（苏人保职〔2020〕13号）等文件精神，结合《苏州市项目制培训实施细则》（苏人保职〔2021〕12号）的要求，为大力实施职业技能提升行动，有效补充现行职业技能培训，突出产业与培训无缝对接，园区启动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2022年度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批项目制培训。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2022年度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园区项目制培训第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批参考目录经行业主管部门及专家评审论证通过，现向社会公示。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2022年度苏州工业园区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项目制培训第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批参考目录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40" w:lineRule="exact"/>
        <w:jc w:val="left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苏州工业园区人力资源和社会保障局</w:t>
      </w: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2022年8月X日   </w:t>
      </w:r>
    </w:p>
    <w:p>
      <w:pPr>
        <w:spacing w:line="640" w:lineRule="exact"/>
        <w:jc w:val="left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40" w:lineRule="exact"/>
        <w:jc w:val="left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40" w:lineRule="exact"/>
        <w:jc w:val="left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2022年度苏州工业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园区项目制培训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第二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批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参考目录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tbl>
      <w:tblPr>
        <w:tblStyle w:val="7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145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  <w:t>所属产业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  <w:t>职业技能培训项目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生物医药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药品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微生物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分析检验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药品清洁验证和生产工艺验证应用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生物医药临床研究技能培训（第二期）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生物医药临床研究技能培训（第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期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theme="minorBid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人工智能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napToGrid w:val="0"/>
              <w:spacing w:line="560" w:lineRule="exact"/>
              <w:jc w:val="both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工业机器人应用工程师</w:t>
            </w:r>
          </w:p>
          <w:p>
            <w:pPr>
              <w:numPr>
                <w:numId w:val="0"/>
              </w:numPr>
              <w:snapToGrid w:val="0"/>
              <w:spacing w:line="560" w:lineRule="exact"/>
              <w:jc w:val="both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2.工业机器人应用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3.人工智能行业从业的技术类人员技能提升项目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高端装备制造</w:t>
            </w:r>
          </w:p>
        </w:tc>
        <w:tc>
          <w:tcPr>
            <w:tcW w:w="6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napToGrid w:val="0"/>
              <w:spacing w:line="560" w:lineRule="exact"/>
              <w:ind w:leftChars="0"/>
              <w:jc w:val="left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1.装配钳工技能培训</w:t>
            </w:r>
          </w:p>
          <w:p>
            <w:pPr>
              <w:numPr>
                <w:numId w:val="0"/>
              </w:numPr>
              <w:snapToGrid w:val="0"/>
              <w:spacing w:line="560" w:lineRule="exact"/>
              <w:ind w:leftChars="0"/>
              <w:jc w:val="left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2.数控车工技能培训</w:t>
            </w:r>
          </w:p>
          <w:p>
            <w:pPr>
              <w:numPr>
                <w:numId w:val="0"/>
              </w:numPr>
              <w:snapToGrid w:val="0"/>
              <w:spacing w:line="560" w:lineRule="exact"/>
              <w:ind w:leftChars="0"/>
              <w:jc w:val="left"/>
              <w:rPr>
                <w:rFonts w:hint="default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3.机械产品质量检验员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0599C7E-4623-49DC-BA15-501140F47C27}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8C9E6EE1-0FA1-44F9-82E4-4FCA61EDD840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CC20708-19F5-497B-8189-D40A745708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E3DE639-45E0-4249-8FF0-97A7EA5429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ZjkxMDIxMTBlNTdmOTRlYjg5NmYxNjY5ZWY2MGIifQ=="/>
  </w:docVars>
  <w:rsids>
    <w:rsidRoot w:val="009D5C73"/>
    <w:rsid w:val="00024C70"/>
    <w:rsid w:val="0008796B"/>
    <w:rsid w:val="001417A2"/>
    <w:rsid w:val="00282534"/>
    <w:rsid w:val="00290BF4"/>
    <w:rsid w:val="00302F7C"/>
    <w:rsid w:val="00324194"/>
    <w:rsid w:val="00370AB4"/>
    <w:rsid w:val="003C013C"/>
    <w:rsid w:val="003D2518"/>
    <w:rsid w:val="00437D86"/>
    <w:rsid w:val="004B1492"/>
    <w:rsid w:val="004D2D80"/>
    <w:rsid w:val="00560F14"/>
    <w:rsid w:val="005F73B9"/>
    <w:rsid w:val="006C6697"/>
    <w:rsid w:val="00727B1C"/>
    <w:rsid w:val="007454F8"/>
    <w:rsid w:val="007859B0"/>
    <w:rsid w:val="007A0A12"/>
    <w:rsid w:val="007D1983"/>
    <w:rsid w:val="008161AB"/>
    <w:rsid w:val="00895DDC"/>
    <w:rsid w:val="009A4677"/>
    <w:rsid w:val="009D5C73"/>
    <w:rsid w:val="009F3C73"/>
    <w:rsid w:val="00AF6B2D"/>
    <w:rsid w:val="00BA0B63"/>
    <w:rsid w:val="00C03827"/>
    <w:rsid w:val="00C91545"/>
    <w:rsid w:val="00D04453"/>
    <w:rsid w:val="00D04E34"/>
    <w:rsid w:val="00D62FA3"/>
    <w:rsid w:val="00DD18AE"/>
    <w:rsid w:val="00DE6AC7"/>
    <w:rsid w:val="00E74478"/>
    <w:rsid w:val="00F24051"/>
    <w:rsid w:val="062C6A39"/>
    <w:rsid w:val="062E4AD5"/>
    <w:rsid w:val="0A4A025A"/>
    <w:rsid w:val="0AC40841"/>
    <w:rsid w:val="0F663009"/>
    <w:rsid w:val="14C6748F"/>
    <w:rsid w:val="164833AF"/>
    <w:rsid w:val="180B6B1D"/>
    <w:rsid w:val="1A901BC0"/>
    <w:rsid w:val="21BE2802"/>
    <w:rsid w:val="22DD0179"/>
    <w:rsid w:val="285A7558"/>
    <w:rsid w:val="293C1F3E"/>
    <w:rsid w:val="32F756F3"/>
    <w:rsid w:val="33933665"/>
    <w:rsid w:val="38D37F4B"/>
    <w:rsid w:val="3A8656D0"/>
    <w:rsid w:val="3B735680"/>
    <w:rsid w:val="3EE53646"/>
    <w:rsid w:val="3FD02274"/>
    <w:rsid w:val="3FD43F1F"/>
    <w:rsid w:val="3FE117B1"/>
    <w:rsid w:val="40F12ED5"/>
    <w:rsid w:val="41761D21"/>
    <w:rsid w:val="4799161D"/>
    <w:rsid w:val="4817220D"/>
    <w:rsid w:val="4B30028E"/>
    <w:rsid w:val="4BC609C4"/>
    <w:rsid w:val="55714033"/>
    <w:rsid w:val="5B694C8E"/>
    <w:rsid w:val="5C916538"/>
    <w:rsid w:val="5F1E4194"/>
    <w:rsid w:val="66CF3779"/>
    <w:rsid w:val="6AAB7772"/>
    <w:rsid w:val="6C69536D"/>
    <w:rsid w:val="72CA128C"/>
    <w:rsid w:val="7CD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438</Words>
  <Characters>486</Characters>
  <Lines>2</Lines>
  <Paragraphs>1</Paragraphs>
  <TotalTime>46</TotalTime>
  <ScaleCrop>false</ScaleCrop>
  <LinksUpToDate>false</LinksUpToDate>
  <CharactersWithSpaces>486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2021-08-05T04:51:00Z</dcterms:created>
  <dc:creator>叶欣</dc:creator>
  <cp:lastModifiedBy>花花不语</cp:lastModifiedBy>
  <dcterms:modified xsi:type="dcterms:W3CDTF">2022-08-03T02:04:56Z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964BA3B39D1846CE987D3358402A6977</vt:lpwstr>
  </property>
</Properties>
</file>